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Jesús Humberto González De León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Ingeniería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 industrial y de sistemas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2017 - 2020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Instituto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iversitario del Norte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MADER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ATEC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Julio 2023 - Enero 2025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T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écnico de mantenimiento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EeaQa2FSfhM/q4KItL1ScheEA==">CgMxLjA4AHIhMVFfa0ZfdkFwdGk5YnZSeGRIUVlZdTcxbV9oQWZ4ZHZB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